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3C71D0" w:rsidRDefault="002232BE" w:rsidP="003C71D0">
      <w:pPr>
        <w:spacing w:after="0" w:line="240" w:lineRule="auto"/>
        <w:rPr>
          <w:rFonts w:ascii="Sylfaen" w:hAnsi="Sylfaen"/>
          <w:sz w:val="20"/>
          <w:szCs w:val="20"/>
        </w:rPr>
      </w:pPr>
    </w:p>
    <w:p w:rsidR="000577B0" w:rsidRPr="003C71D0" w:rsidRDefault="000577B0" w:rsidP="003C71D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0577B0" w:rsidRPr="003C71D0" w:rsidRDefault="000577B0" w:rsidP="003C71D0">
      <w:pPr>
        <w:spacing w:after="0" w:line="240" w:lineRule="auto"/>
        <w:ind w:firstLine="851"/>
        <w:rPr>
          <w:rFonts w:ascii="Sylfaen" w:hAnsi="Sylfaen" w:cs="Sylfaen"/>
          <w:b/>
          <w:bCs/>
          <w:sz w:val="20"/>
          <w:szCs w:val="20"/>
        </w:rPr>
      </w:pPr>
      <w:r w:rsidRPr="003C71D0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421755" cy="652342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65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3C71D0" w:rsidRDefault="003B5FF9" w:rsidP="003C71D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C71D0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:rsidR="00920E56" w:rsidRPr="003C71D0" w:rsidRDefault="00920E56" w:rsidP="003C71D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1115" w:tblpY="485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537"/>
        <w:gridCol w:w="6725"/>
        <w:gridCol w:w="34"/>
      </w:tblGrid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ind w:left="567" w:hanging="567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54E2E" w:rsidRPr="003C71D0" w:rsidRDefault="007D43D5" w:rsidP="003C71D0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გერმანული ენა და ლიტერატურა</w:t>
            </w:r>
          </w:p>
          <w:p w:rsidR="00761D47" w:rsidRPr="003C71D0" w:rsidRDefault="00B902F0" w:rsidP="003C71D0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German Language and Literature</w:t>
            </w:r>
          </w:p>
        </w:tc>
      </w:tr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D43D5" w:rsidRPr="003C71D0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ჰუმანიტარულ</w:t>
            </w:r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მეცნიერებათა</w:t>
            </w:r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ბაკალავრი</w:t>
            </w:r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ფილოლოგიაში</w:t>
            </w:r>
          </w:p>
          <w:p w:rsidR="00761D47" w:rsidRPr="003C71D0" w:rsidRDefault="00DF553B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>Bachelor of Humanities in Philology</w:t>
            </w:r>
          </w:p>
        </w:tc>
      </w:tr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C71D0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3C71D0" w:rsidRPr="00DA360E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პროფ</w:t>
            </w:r>
            <w:r w:rsidR="00B063D7" w:rsidRPr="003C71D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ნანული კაკაურიძე</w:t>
            </w:r>
          </w:p>
          <w:p w:rsidR="00DA360E" w:rsidRPr="00DA360E" w:rsidRDefault="00DA360E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Pr="00C92848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Nanuli/kakauridze@atsu.edu.ge</w:t>
              </w:r>
            </w:hyperlink>
            <w:r w:rsidRPr="00DA360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3C71D0" w:rsidRPr="003C71D0" w:rsidTr="003C71D0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94CA8" w:rsidRPr="003C71D0" w:rsidRDefault="00761D47" w:rsidP="003C71D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C0473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DE089B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8 სემესტრი</w:t>
            </w:r>
            <w:r w:rsidR="00DE089B" w:rsidRPr="003C71D0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:rsidR="00761D47" w:rsidRPr="003C71D0" w:rsidRDefault="00E94CA8" w:rsidP="003C71D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კრედიტების სა</w:t>
            </w:r>
            <w:r w:rsid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ე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რთო  რაოდენობა: </w:t>
            </w:r>
            <w:r w:rsidR="00761D47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240 </w:t>
            </w:r>
            <w:r w:rsidR="00761D47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7D43D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</w:p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3C71D0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3C71D0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80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B613E8" w:rsidRPr="003C71D0" w:rsidRDefault="00761D47" w:rsidP="003C71D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3C71D0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="007D43D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საბაკალავრო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კურიკულუმი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სასწავლო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დისციპლინათა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შემდეგ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კატეგორიას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მოიცავს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: 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ფილოლოგიური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პროგრამისათვის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ურსები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– (25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>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– (120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>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არჩევითი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– (30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>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თავისუფალი</w:t>
            </w:r>
            <w:proofErr w:type="spellEnd"/>
            <w:r w:rsid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E94CA8" w:rsidRPr="003C71D0">
              <w:rPr>
                <w:rFonts w:ascii="Sylfaen" w:hAnsi="Sylfaen"/>
                <w:sz w:val="20"/>
                <w:szCs w:val="20"/>
              </w:rPr>
              <w:t>კრედიტ</w:t>
            </w:r>
            <w:r w:rsidRPr="003C71D0">
              <w:rPr>
                <w:rFonts w:ascii="Sylfaen" w:hAnsi="Sylfaen"/>
                <w:sz w:val="20"/>
                <w:szCs w:val="20"/>
              </w:rPr>
              <w:t>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– (5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>)</w:t>
            </w:r>
          </w:p>
          <w:p w:rsidR="00B613E8" w:rsidRPr="003C71D0" w:rsidRDefault="00B613E8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დამატებითი</w:t>
            </w:r>
            <w:proofErr w:type="spellEnd"/>
            <w:r w:rsidR="00AC0473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სპეციალობის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gramStart"/>
            <w:r w:rsidRPr="003C71D0">
              <w:rPr>
                <w:rFonts w:ascii="Sylfaen" w:hAnsi="Sylfaen"/>
                <w:sz w:val="20"/>
                <w:szCs w:val="20"/>
              </w:rPr>
              <w:t xml:space="preserve">minor) 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კრედიტები</w:t>
            </w:r>
            <w:proofErr w:type="spellEnd"/>
            <w:proofErr w:type="gramEnd"/>
            <w:r w:rsidRPr="003C71D0">
              <w:rPr>
                <w:rFonts w:ascii="Sylfaen" w:hAnsi="Sylfaen"/>
                <w:sz w:val="20"/>
                <w:szCs w:val="20"/>
              </w:rPr>
              <w:t xml:space="preserve"> - 60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</w:p>
        </w:tc>
      </w:tr>
      <w:tr w:rsidR="003C71D0" w:rsidRPr="003C71D0" w:rsidTr="003C71D0">
        <w:trPr>
          <w:gridAfter w:val="1"/>
          <w:wAfter w:w="34" w:type="dxa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C71D0" w:rsidRDefault="007D43D5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ქართული, გერმანული.</w:t>
            </w:r>
          </w:p>
        </w:tc>
      </w:tr>
      <w:tr w:rsidR="003C71D0" w:rsidRPr="003C71D0" w:rsidTr="003C71D0">
        <w:trPr>
          <w:gridAfter w:val="1"/>
          <w:wAfter w:w="34" w:type="dxa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28EE" w:rsidRDefault="00F928EE" w:rsidP="00F928E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</w:rPr>
              <w:t>: №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38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; 23.09.2011</w:t>
            </w:r>
          </w:p>
          <w:p w:rsidR="00F928EE" w:rsidRDefault="00F928EE" w:rsidP="00F928EE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 w:rsidRPr="00DA360E">
              <w:rPr>
                <w:rFonts w:ascii="Sylfaen" w:hAnsi="Sylfaen"/>
                <w:sz w:val="20"/>
                <w:szCs w:val="20"/>
                <w:lang w:val="ka-GE"/>
              </w:rPr>
              <w:t xml:space="preserve">ოქმი </w:t>
            </w:r>
            <w:r w:rsidRPr="00DA360E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DA360E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Pr="00DA360E">
              <w:rPr>
                <w:rFonts w:ascii="Sylfaen" w:hAnsi="Sylfaen"/>
                <w:sz w:val="20"/>
                <w:szCs w:val="20"/>
              </w:rPr>
              <w:t xml:space="preserve"> 1    08.09.20</w:t>
            </w:r>
            <w:r w:rsidRPr="00DA360E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  <w:p w:rsidR="00761D47" w:rsidRPr="003C71D0" w:rsidRDefault="00DA360E" w:rsidP="00F928E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 xml:space="preserve"> 1 (21/22) 17.09.21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დაშვები</w:t>
            </w:r>
            <w:proofErr w:type="spellEnd"/>
            <w:r w:rsidR="003C71D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სწინაპირობები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3C71D0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გერმანული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ენისა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ლიტერატურის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სტუდენტი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შეიძლება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გახდეს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სრული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მისი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ექვივალენტური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მქონე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მადასტურებელი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მფლობელი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proofErr w:type="gramStart"/>
            <w:r w:rsidRPr="003C71D0">
              <w:rPr>
                <w:rFonts w:ascii="Sylfaen" w:hAnsi="Sylfaen" w:cs="Sylfaen"/>
                <w:sz w:val="20"/>
                <w:szCs w:val="20"/>
              </w:rPr>
              <w:t>პირი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რომელსაც</w:t>
            </w:r>
            <w:proofErr w:type="spellEnd"/>
            <w:proofErr w:type="gram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ჩაბარებული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აქვს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გამოცდები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ფლობს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შესაბამის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სერტიფიკატს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მოქალაქეებისათვის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სავალდებულოა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სახელმწიფოთაშორისი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ხელშეკრულებით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განსაზღვრული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ექვივალენტური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არსებობა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>.</w:t>
            </w:r>
          </w:p>
          <w:p w:rsidR="00C307BD" w:rsidRPr="003C71D0" w:rsidRDefault="00B613E8" w:rsidP="003C71D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უზრუნველყოფ</w:t>
            </w:r>
            <w:proofErr w:type="spellEnd"/>
            <w:r w:rsidR="00C307BD" w:rsidRPr="003C71D0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="00C307BD" w:rsidRPr="003C71D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უნარებისა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ღირებულებების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მქონე</w:t>
            </w:r>
            <w:proofErr w:type="spellEnd"/>
            <w:r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აკადემიური 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>პერსონ</w:t>
            </w:r>
            <w:r w:rsidRPr="003C71D0">
              <w:rPr>
                <w:rFonts w:ascii="Sylfaen" w:hAnsi="Sylfaen" w:cs="Sylfaen"/>
                <w:sz w:val="20"/>
                <w:szCs w:val="20"/>
                <w:lang w:val="ka-GE"/>
              </w:rPr>
              <w:t>ალის</w:t>
            </w:r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პროგრამაში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ჩართვას</w:t>
            </w:r>
            <w:proofErr w:type="spellEnd"/>
            <w:r w:rsidR="00C307BD" w:rsidRPr="003C71D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რაც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ემსახურება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მიერ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="00AC0473" w:rsidRPr="003C71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C307BD" w:rsidRPr="003C71D0">
              <w:rPr>
                <w:rFonts w:ascii="Sylfaen" w:hAnsi="Sylfaen" w:cs="Sylfaen"/>
                <w:sz w:val="20"/>
                <w:szCs w:val="20"/>
              </w:rPr>
              <w:t>მიღწევას</w:t>
            </w:r>
            <w:proofErr w:type="spellEnd"/>
            <w:r w:rsidR="00C307BD" w:rsidRPr="003C71D0">
              <w:rPr>
                <w:rFonts w:ascii="Sylfaen" w:hAnsi="Sylfaen" w:cs="Sylfaen"/>
                <w:sz w:val="20"/>
                <w:szCs w:val="20"/>
              </w:rPr>
              <w:t>;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მიზანია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მოამზადოს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ენისა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შემდგომი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საქმიანობისა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საუნივერსიტეტო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განათლების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მომდევნო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საფეხურისათვის (მაგისტრატურა). პროგრამაში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ასევე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გათვალისწინებულია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სტუდენტისათვის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ზოგადფილოლოგიური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ცოდნის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მიცემა, ზოგადი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კომპეტენციების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განვითარება. პროგრამის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მიზანია, სტუდენტმა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შეიძინოს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უნარები, გადაწყვიტოს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დარგობრივი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თუ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ზოგადი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პრობლემური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საკითხები, შეძლოს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საკუთარი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დასკვნის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ჩამოყალიბება, გადასცეს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თავისი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ცოდნა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ქართულენოვან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უცხოენოვან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მსმენელს,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შეაჯამოს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შეძენილი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ცოდნა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პატივი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სცეს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სხვათა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მრავალფეროვან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კულტურულ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მემკვიდრეობას.  </w:t>
            </w:r>
          </w:p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მიხედვით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ენის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სწავლება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მთლიანად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შეესაბამება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ევროკომისიის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მიერ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შემუშავებული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ენობრივი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პოლიტიკის „საერთო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ევროპული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რეფერენციული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ჩარჩოს“ პარამეტრებს, რაც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გულისხმობს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ენობრივი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კომპეტენციის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ზრდას  B.1, B.2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დონემდე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პირველი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საფეხურის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სწავლების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ფარგლებში.</w:t>
            </w:r>
          </w:p>
          <w:p w:rsidR="00B613E8" w:rsidRPr="003C71D0" w:rsidRDefault="00B613E8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ფარგლებში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სტუდენტი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შეისწავლის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გერმანული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ძირითად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საკითხებს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ზოგადევროპული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ამერიკული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ლიტერატურის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ქრონოლოგიური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განვითარების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ჭრილში; გააცნობიერებს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განსხვავებულ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კრიტიკულ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შეფასებებს; </w:t>
            </w:r>
          </w:p>
          <w:p w:rsidR="00C307BD" w:rsidRPr="003C71D0" w:rsidRDefault="00C307BD" w:rsidP="003C71D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პროგრამა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სტუდენტს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613E8" w:rsidRPr="003C71D0">
              <w:rPr>
                <w:rFonts w:ascii="Sylfaen" w:hAnsi="Sylfaen"/>
                <w:sz w:val="20"/>
                <w:szCs w:val="20"/>
                <w:lang w:val="ka-GE"/>
              </w:rPr>
              <w:t>მისცემს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ზოგად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ფართო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ცოდნას, რაც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გულისხმობს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დარგის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მთავარი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პრინციპების, თეორიებისა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კონცეფციების, დარგის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ზოგიერთი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გამორჩეული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ან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ახალი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ასპექტის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შესწავლას, კვლევის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ძირითადი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მეთოდების</w:t>
            </w:r>
            <w:r w:rsidR="00F7747C"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დაუფლებას. 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B7415C" w:rsidRPr="003C71D0" w:rsidRDefault="00761D47" w:rsidP="003C71D0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</w:t>
            </w:r>
            <w:r w:rsid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3C71D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3C71D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3C71D0" w:rsidRDefault="00761D47" w:rsidP="003C71D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5C" w:rsidRPr="003C71D0" w:rsidRDefault="007C0EED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ბაკალავრს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„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საერთოევროპული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რეფერენციული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ჩარჩოს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“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მოთხოვნათა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შესატყვის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ჩვევები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კურსში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გულისხმობს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მარტო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ლინგვისტური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უნარების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არამედ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კომპეტენციების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განვითარებასაც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ფარგლებში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მოსმენილი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საფუძველზე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ეუფლება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აუცილებელ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ცოდნას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თეორიაში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რომელიც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დაეხმარება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გასაგრძელებლად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ზედა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საფეხურზე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C307BD" w:rsidRPr="003C71D0" w:rsidRDefault="00272CFC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კურსდამთავრებული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ჩამოაყალიბებ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ული აქვს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ისტორიაში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ეპოქებისა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მიმდინარეობების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ესთეტიკურ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95770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პრინციპები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იგი</w:t>
            </w:r>
            <w:r w:rsidR="007C0EED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შეიმეცნებ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ზოგადევროპული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ამერიკული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ჭრილში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აცნობიერებ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კომპლექსურ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საკითხებს,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ინტერნეტ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რესურსების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მოძიების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თანამედროვე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საკომუნიკაციო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ტექნოლოგიურ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საშუალებების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წესებს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="007F0DF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განსაზღვრავ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თავისი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პროფესიული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="007C0EED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საქმიანობის</w:t>
            </w:r>
            <w:r w:rsidR="007C0EED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საზღვრებს</w:t>
            </w:r>
            <w:r w:rsidR="00B7415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5C" w:rsidRPr="003C71D0" w:rsidRDefault="00B7415C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კურსდამთავრებულს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47369F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გადაწყვიტოს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პრობლემური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გადასაჭრელად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მიმართოს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სტანდარტულ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სპეციფიკურ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შეუძლი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პრაქტიკული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ხასიათის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პროექტის</w:t>
            </w:r>
            <w:r w:rsidR="0047369F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განხორციელება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წინასწარ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განსაზღვრული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მითითებების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შესაბამისად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კურსდამთავრებული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განახორციელებს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ზეპირი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წერილობითი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სახის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კომუნიკაცია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მას შეუძლია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საუბრის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წარმართვა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აზრისა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დაცვა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გერმანულენოვანი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სახის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მასმედია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მხატვრული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ტექსტი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გაგება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ინტერპრეტაცია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წარმოდგენა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</w:p>
          <w:p w:rsidR="00C307BD" w:rsidRPr="003C71D0" w:rsidRDefault="00B7415C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თანამედროვე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კვლევების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გაცნობის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ფონზე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შესწავლის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აქვს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უნარი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გაერკვეს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თეორიულ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საკითხებში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იგი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გაერკვეულია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მიმდინარე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ლიტერატურულ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ესთეტიკურ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ლინგვოკულტუროლოგიურ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პროცესებში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="00272CFC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მას აქვს</w:t>
            </w:r>
            <w:r w:rsidR="004051C5"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შემოქმედებითად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სურვილი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დასრულების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სტუდენტი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გადაწყვეტ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სხვადასხვა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7F0DF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პრობლემურ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საკითხს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გადასაჭრელად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მიმართავ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სტანდარტულ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თუ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სპეციფიკურ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3C71D0" w:rsidRDefault="00C307BD" w:rsidP="003C71D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C71D0" w:rsidRDefault="00B7415C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გერმანული ენისა ლიტერატურის საბაკალავრო კურსის გავლის შემდეგ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სტუდენტს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უძლია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მიღებული ცოდნის საფუძველზე სხვადასხვა თემასა და საკითხზე არსებული პრობლემების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გაცნობიერება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მათ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="004051C5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განზოგადება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 ინტერპრეტაციის საფუძველზე 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რეზიუმირება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საკუთარი დასკვნის ჩამოყ</w:t>
            </w:r>
            <w:r w:rsidR="00272CF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ალიბება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C71D0" w:rsidRDefault="00C307BD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C71D0" w:rsidRDefault="008A3338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თანამიმდევრულად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აყალიბებ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იდეებს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მოსაზრებებს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ინფორმაციებს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როგორც სპეციალისტთა, ასევე არასპეციალისტთათვის გასაგები ტერმინოლოგიითა და ენით, გადასცე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თანამედროვე 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 xml:space="preserve">საინფორმაციო და საკომუნიკაციო ტექნოლოგიების გამოყენებით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ცოდნა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ქართულენოვან და უცხოენოვან მსმენელს; ასევე იც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საკუთარპოზიციებს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ამა თუ იმ საკითხთან მიმართებაში და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აკეთებ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წერილობით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ზეპირ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პრეზენტაცია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B7415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სხვადასხვა ტიპის აუდიტორიისთვის. 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 უნარი</w:t>
            </w:r>
          </w:p>
        </w:tc>
        <w:tc>
          <w:tcPr>
            <w:tcW w:w="7296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C71D0" w:rsidRDefault="00C70370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ინფორმაციის დიფერენცირების საფუძველზე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ბაკალავრი</w:t>
            </w:r>
            <w:r w:rsidR="004C5314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აფასებ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და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აჯამებ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შეძენილ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ცოდნა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განსაზღვრავ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დაუფლებული უნარების გამოყენების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შესაძლებლობებს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ბაკალავრს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უძლია</w:t>
            </w:r>
            <w:r w:rsidR="009D7832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საკუთარი სწავლის შეფასება და შემდგომი სწავლის საჭიროებების დადგენა.</w:t>
            </w:r>
          </w:p>
        </w:tc>
      </w:tr>
      <w:tr w:rsidR="003C71D0" w:rsidRPr="003C71D0" w:rsidTr="003C71D0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2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C71D0" w:rsidRDefault="00C70370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ბაკალავრს </w:t>
            </w:r>
            <w:r w:rsidR="008A3338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შეუძლი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 აღნიშნული სფეროს ფასეულობების გამოყენება ზოგადი ღირებულებების ფორმირების პროცესში, ასევე სხვათა მრავალფეროვანი კულტურული  მემკვიდრეობის  პატივისცემა და დაფასება.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41076F" w:rsidRPr="003C71D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D19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ლექციასა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მეცადინეობებზე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იქნება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: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ვერბალური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წიგნზე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მუშაობისა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დემონსტრირების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დისკუსია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დებატები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ქმედებაზე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ორიენტირებულისწავლება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ანალიზისა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სინთეზის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ითვალისწინებს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ასევე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უახლესი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მეთოდოლოგიის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ინფორმაციულ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ტექნიკური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გამოყენებას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პროცესში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ცალკეული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მოდულის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ზოგადად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მიზნების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განხორციელებას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პრიორიტეტული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მიმართულებაა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ლექციებსა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პრაქტიკულებზე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მაქსიმალური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აქტიურობის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სტიმულირება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პროცესში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შესაძლებლობათა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გათვალისწინება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ამავდროულად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შესაძლებლობათა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სრული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რეალიზაციის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ხელშეწყობა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სმაქსიმალურად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მაღალ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</w:p>
          <w:p w:rsidR="009D7832" w:rsidRPr="003C71D0" w:rsidRDefault="00C70370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შეფასების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უზრუნველყოფს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იმ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შედეგების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მიღწევას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რომლებიც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მოცემული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ასაგანმანათლებლო</w:t>
            </w:r>
            <w:r w:rsidR="00A67D19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პროგრამაში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საბაკალავრო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კურიკულუმი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დისციპლინათა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შემდეგ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კატეგორიას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მოიცავს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: 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ფილოლოგიური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პროგრამისათვის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სავალდებულო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– (25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სავალდებულო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– (120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არჩევითი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– (30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– (5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  <w:p w:rsidR="00C70370" w:rsidRPr="003C71D0" w:rsidRDefault="00C70370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დამატებითი</w:t>
            </w:r>
            <w:r w:rsidR="008231D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სპეციალობის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(minor) 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კრედიტები</w:t>
            </w:r>
            <w:r w:rsidRPr="003C71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E25194" w:rsidRPr="003C71D0" w:rsidRDefault="00E25194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 გეგმა იხ.დანართის სახით</w:t>
            </w:r>
            <w:r w:rsidR="00E25194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C70370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დანართი 1.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სტუდენტთა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მიღწევების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ხდება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საქართველოს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განათლებისა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მეცნიერების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მინისტრის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2007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წლის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5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იანვრის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№3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2016 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ru-RU"/>
              </w:rPr>
              <w:t>წლის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 18 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ru-RU"/>
              </w:rPr>
              <w:t>აგვისტოს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 №102/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ru-RU"/>
              </w:rPr>
              <w:t>ნ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ბრძანებებით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განსაზღვრული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პუნქტების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გათვალისწინებით</w:t>
            </w:r>
            <w:r w:rsidRPr="003C71D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,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კრედიტის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მიღება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შესაძლებელია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მხოლოდ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მიერ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სილაბუსით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დაგეგმილი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შედეგების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მიღწევის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შემდეგ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,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რაც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გამოიხატება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მე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-6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პუნქტის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“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”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ქვეპუნქტით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გათვალისწინებული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ერთ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>-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ერთი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დადებითი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შეფასებით</w:t>
            </w: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</w:rPr>
              <w:t>.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აკაკი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წერეთლის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სახელმწიფო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უნივერსიტეტში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არსებული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>სისტემა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>იყოფა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>შემდეგ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ru-RU" w:eastAsia="ru-RU"/>
              </w:rPr>
              <w:t>კომპონენტებად</w:t>
            </w:r>
            <w:r w:rsidRPr="003C71D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საგანმანათლებლო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პროგრამის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კომპონენტის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საერთო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ქულიდან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 (100 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Arial Unicode MS"/>
                <w:noProof/>
                <w:sz w:val="20"/>
                <w:szCs w:val="20"/>
                <w:lang w:eastAsia="ru-RU"/>
              </w:rPr>
              <w:t xml:space="preserve">)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შუალედური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ხვედრითი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წილი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შეადგენს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ჯამურად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60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რომელიც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თავის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მხრივ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მოიცავს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შემდეგი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ფორმებს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სტუდენტის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აქტივობა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სასწავლო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სემესტრის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განმავლობაში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>(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მოიცავს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სხვადასხვა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ru-RU" w:eastAsia="ru-RU"/>
              </w:rPr>
              <w:t>კომპონენტებს</w:t>
            </w:r>
            <w:r w:rsidRPr="003C71D0"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eastAsia="ru-RU"/>
              </w:rPr>
              <w:t>)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-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30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შუალედური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- 30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დასკვნითი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-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40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41076F" w:rsidRPr="003C71D0" w:rsidRDefault="0041076F" w:rsidP="003C71D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დასკვნით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გამოცდაზე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გასვლის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უფლება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ეძლევა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სტუდენტს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რომელის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შუალედური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კომპონენტებში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მინიმალური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კომპეტენციის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ზღვარი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ჯამურად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შეადგენს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18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ქულას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.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სისტემა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უშვებს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ხუთი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სახის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დადებით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შეფასებას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lastRenderedPageBreak/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) 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(A)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ფრიადი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91-100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) 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(B)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ძალიან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კარგი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81-90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; 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) 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(C)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კარგი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71-80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(D)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დამაკმაყოფილებელი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61-70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; 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ე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)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 (E)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საკმარისი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51-60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ორი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სახის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უარყოფით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შეფასებას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>: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)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(FX)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ვერ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ჩააბარა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41-50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რაც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ნიშნავს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რომ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სტუდენტს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ჩასაბარებლად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მეტი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მუშაობა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სჭირდება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ეძლევა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დამოუკიდებელი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მუშაობით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დამატებით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გამოცდაზე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ერთხელ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გასვლის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უფლება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;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ბ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)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eastAsia="ru-RU"/>
              </w:rPr>
              <w:t xml:space="preserve"> (F) </w:t>
            </w:r>
            <w:r w:rsidRPr="003C71D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ru-RU" w:eastAsia="ru-RU"/>
              </w:rPr>
              <w:t>ჩაიჭრა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–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მაქსიმალური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შეფასების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40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ქულა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ნაკლები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რაც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ნიშნავს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,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რომ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სტუდენტის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მიერ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ჩატარებული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სამუშაო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არ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არის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საკმარისი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და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მას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საგანი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ახლიდან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აქვს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შესასწავლი</w:t>
            </w:r>
            <w:r w:rsidRPr="003C71D0"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  <w:t>.</w:t>
            </w: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</w:p>
          <w:p w:rsidR="0041076F" w:rsidRPr="003C71D0" w:rsidRDefault="0041076F" w:rsidP="003C71D0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საგანმანათლებლო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პროგრამის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სასწავლო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კომპონენტში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>, FX-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ის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მიღების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შემთხვევაში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დამატებითი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დაინიშნება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დასკვნითი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გამოცდის</w:t>
            </w: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შედეგების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გამოცხადებიდან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5 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დღეში</w:t>
            </w:r>
            <w:r w:rsidRPr="003C71D0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41076F" w:rsidRPr="003C71D0" w:rsidRDefault="0041076F" w:rsidP="003C7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3C71D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41076F" w:rsidRPr="003C71D0" w:rsidRDefault="0041076F" w:rsidP="003C7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41076F" w:rsidRPr="003C71D0" w:rsidRDefault="0041076F" w:rsidP="003C7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1076F" w:rsidRPr="003C71D0" w:rsidRDefault="0041076F" w:rsidP="003C7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C71D0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3C71D0" w:rsidRDefault="0041076F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C71D0" w:rsidRDefault="00010C9D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კურსდამთავრებული შეძლებს არაპედაგოგიურ მოღვაწეობას შესაბამისი პროფილით, ასევე საქმიანობას სამთავრობო დაწესებულებებსა და არასამთავრობო სექტორში.  საბაკალავრო პროგრამის (გერმანული ენა და ლიტერატურა) კურსდამთავრებული შეძლებს სწავლის გაგრძელებას  ჰუმანიტარული სპეციალობების სამაგისტრო პროგრამებზე.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3C71D0" w:rsidRPr="003C71D0" w:rsidTr="003C71D0">
        <w:tc>
          <w:tcPr>
            <w:tcW w:w="10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C9D" w:rsidRPr="003C71D0" w:rsidRDefault="00010C9D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განყოფილებას აქვს მდიდარი მტერიალური რესურსი ბაკალავრიატის საგანმანათლებლო პროგრამის განსახორციელებლად. მატერიალური რესურსის უდიდესი ნაწილი შეძენილია გოეთეს საერთაშორისო საზოგადოების, ჰაიდელბერგის უნივერსიტეტის, DAAD-ს , DFG-ს დაფინანსებით.</w:t>
            </w:r>
          </w:p>
          <w:p w:rsidR="007E3BDC" w:rsidRPr="003C71D0" w:rsidRDefault="00010C9D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დეპატამენტის საკუთრივ მატერიალურ რესურსს შეადგენს: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25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კომპიუტერი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PC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ოვერჰედპროექტორი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ქსეროკოპიის აპარატი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სკანერი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ტელევიზორი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ვიდეომაგნიტოფონი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 CD PLAYER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 ფაქსის აპარატი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პროექტორი (Bemer)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2 </w:t>
            </w:r>
            <w:r w:rsidR="00DA1C7A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სატელიტური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მიმღები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კასეტები (ვიდეოთეკა)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ა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სევე: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ჰუმანიტარულ მეცნიერებათა ფაკულტეტის კომპიუტერული რესურს-ცენტრი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უნივერსიტეტის კომპიუტერული რესურს-ცენტრი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 </w:t>
            </w:r>
            <w:r w:rsidR="007E3BD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დეპარტამენტის კომპიუტერული რესურს-ცენტრი</w:t>
            </w:r>
            <w:r w:rsid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010C9D" w:rsidRPr="003C71D0" w:rsidRDefault="00010C9D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საგანმანათლებლო პროგრამის განხორციელებისათვის გერმანული ფილოლოგიის  დეპარტამენტს აქვს უახლესი სამეცნიერო (ასევე მხატვრული) ლიტერატურა გერმანულ და ქართულ ენებზე, რომელიც განთავსებულია გერმანული ფილოლოგიის დეპარტამენტის, ასევე ფაკულტეტის ბიბლიოთეკასა და უნივერსიტეტის ცენტრალურ ბიბლიოთეკაში.</w:t>
            </w:r>
          </w:p>
          <w:p w:rsidR="00477475" w:rsidRPr="003C71D0" w:rsidRDefault="00477475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010C9D" w:rsidRPr="003C71D0" w:rsidRDefault="00477475" w:rsidP="003C71D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გერმანული ფილოლოგიის განყოფილებას აქვს ასევე მაღალი დონის აკადემიური რესურსი</w:t>
            </w:r>
            <w:r w:rsidR="007E3BDC" w:rsidRPr="003C71D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71D0" w:rsidRPr="003C71D0" w:rsidTr="003C71D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553" w:type="dxa"/>
            <w:gridSpan w:val="4"/>
            <w:tcBorders>
              <w:top w:val="single" w:sz="18" w:space="0" w:color="auto"/>
            </w:tcBorders>
          </w:tcPr>
          <w:p w:rsidR="009D7832" w:rsidRPr="003C71D0" w:rsidRDefault="009D7832" w:rsidP="003C71D0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F60184" w:rsidRPr="003C71D0" w:rsidRDefault="00F60184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CB118A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  <w:sectPr w:rsidR="003C71D0" w:rsidSect="003C71D0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3C71D0" w:rsidRP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CB118A" w:rsidRPr="003C71D0" w:rsidRDefault="00CB118A" w:rsidP="003C71D0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  <w:r w:rsidRPr="003C71D0">
        <w:rPr>
          <w:rFonts w:ascii="Sylfaen" w:hAnsi="Sylfaen"/>
          <w:noProof/>
          <w:sz w:val="20"/>
          <w:szCs w:val="20"/>
        </w:rPr>
        <w:t>დანართი 1</w:t>
      </w:r>
    </w:p>
    <w:p w:rsidR="00CB118A" w:rsidRPr="003C71D0" w:rsidRDefault="00CB118A" w:rsidP="003C71D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3C71D0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18A" w:rsidRPr="008260AD" w:rsidRDefault="00CB118A" w:rsidP="003C71D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3C71D0">
        <w:rPr>
          <w:rFonts w:ascii="Sylfaen" w:hAnsi="Sylfaen" w:cs="Sylfaen"/>
          <w:b/>
          <w:noProof/>
          <w:sz w:val="20"/>
          <w:szCs w:val="20"/>
        </w:rPr>
        <w:t>სასწავლო გეგმა</w:t>
      </w:r>
      <w:r w:rsidR="003C71D0">
        <w:rPr>
          <w:rFonts w:ascii="Sylfaen" w:hAnsi="Sylfaen" w:cs="Sylfaen"/>
          <w:b/>
          <w:noProof/>
          <w:sz w:val="20"/>
          <w:szCs w:val="20"/>
        </w:rPr>
        <w:t xml:space="preserve"> 20</w:t>
      </w:r>
      <w:r w:rsidR="008260AD">
        <w:rPr>
          <w:rFonts w:ascii="Sylfaen" w:hAnsi="Sylfaen" w:cs="Sylfaen"/>
          <w:b/>
          <w:noProof/>
          <w:sz w:val="20"/>
          <w:szCs w:val="20"/>
        </w:rPr>
        <w:t>21</w:t>
      </w:r>
      <w:r w:rsidR="003C71D0">
        <w:rPr>
          <w:rFonts w:ascii="Sylfaen" w:hAnsi="Sylfaen" w:cs="Sylfaen"/>
          <w:b/>
          <w:noProof/>
          <w:sz w:val="20"/>
          <w:szCs w:val="20"/>
        </w:rPr>
        <w:t>-20</w:t>
      </w:r>
      <w:r w:rsidR="003C71D0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8260AD">
        <w:rPr>
          <w:rFonts w:ascii="Sylfaen" w:hAnsi="Sylfaen" w:cs="Sylfaen"/>
          <w:b/>
          <w:noProof/>
          <w:sz w:val="20"/>
          <w:szCs w:val="20"/>
        </w:rPr>
        <w:t>2</w:t>
      </w:r>
    </w:p>
    <w:p w:rsidR="00CB118A" w:rsidRPr="003C71D0" w:rsidRDefault="00CB118A" w:rsidP="003C71D0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3C71D0">
        <w:rPr>
          <w:rFonts w:ascii="Sylfaen" w:hAnsi="Sylfaen" w:cs="Sylfaen"/>
          <w:b/>
          <w:noProof/>
          <w:sz w:val="20"/>
          <w:szCs w:val="20"/>
        </w:rPr>
        <w:t>საბაკალავრო პროგრამის დასახელება: გერმანული ენა და ლიტერატურა</w:t>
      </w:r>
    </w:p>
    <w:p w:rsidR="00CB118A" w:rsidRPr="003C71D0" w:rsidRDefault="00CB118A" w:rsidP="003C71D0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sz w:val="20"/>
          <w:szCs w:val="20"/>
          <w:lang w:val="ru-RU"/>
        </w:rPr>
      </w:pPr>
      <w:r w:rsidRPr="003C71D0">
        <w:rPr>
          <w:rFonts w:ascii="Sylfaen" w:hAnsi="Sylfaen" w:cs="Sylfaen"/>
          <w:b/>
          <w:noProof/>
          <w:sz w:val="20"/>
          <w:szCs w:val="20"/>
          <w:lang w:val="ru-RU"/>
        </w:rPr>
        <w:t xml:space="preserve">მისანიჭებელი კვალიფიკაცია: </w:t>
      </w:r>
      <w:r w:rsidRPr="003C71D0">
        <w:rPr>
          <w:rFonts w:ascii="Sylfaen" w:hAnsi="Sylfaen" w:cs="Sylfaen"/>
          <w:b/>
          <w:bCs/>
          <w:noProof/>
          <w:sz w:val="20"/>
          <w:szCs w:val="20"/>
          <w:lang w:val="ru-RU"/>
        </w:rPr>
        <w:t>ჰუმანიტარულ მეცნიერებათა ბაკალავრი ფილოლოგიაში</w:t>
      </w:r>
    </w:p>
    <w:p w:rsidR="00CB118A" w:rsidRPr="003C71D0" w:rsidRDefault="00CB118A" w:rsidP="003C71D0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442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3C71D0" w:rsidRPr="003C71D0" w:rsidTr="00756602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3C71D0" w:rsidRPr="003C71D0" w:rsidTr="00756602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347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3C71D0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პროგრამისათვის</w:t>
            </w:r>
            <w:proofErr w:type="spellEnd"/>
            <w:proofErr w:type="gramEnd"/>
            <w:r w:rsidRPr="003C71D0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  <w:lang w:val="fr-FR"/>
              </w:rPr>
              <w:t>კურსები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>(1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5 </w:t>
            </w: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აკადემიური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  <w:highlight w:val="lightGray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ენათმეცნიერების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ლიტმცოდნეობის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გერმანული ფილოლოგიისათვის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ზოგადი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კლასიკურ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 გერმანულ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0/5</w:t>
            </w:r>
            <w:r w:rsidRPr="003C71D0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C71D0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 ენა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გერმანულიენა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გერმანულიენა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1.17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გერმანულიენა 8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.18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  <w:lang w:val="ka-GE"/>
              </w:rPr>
            </w:pP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.16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  <w:lang w:val="ka-GE"/>
              </w:rPr>
            </w:pP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თეორიული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noProof/>
                <w:sz w:val="20"/>
                <w:szCs w:val="20"/>
                <w:lang w:val="ka-GE"/>
              </w:rPr>
            </w:pPr>
            <w:r w:rsidRPr="003C71D0">
              <w:rPr>
                <w:noProof/>
                <w:sz w:val="20"/>
                <w:szCs w:val="20"/>
              </w:rPr>
              <w:t>გერმანული ენის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1.17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თარგმანის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თეორია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და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>შუა საუკუნეებისა და აღორძინების პერიოდის დასავლეთევროპული ლიტერატურის ძირითადიტენდენციები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 xml:space="preserve">გერმანულენოვანი </w:t>
            </w:r>
            <w:r w:rsidRPr="003C71D0">
              <w:rPr>
                <w:rFonts w:cs="AcadNusx"/>
                <w:noProof/>
                <w:sz w:val="20"/>
                <w:szCs w:val="20"/>
              </w:rPr>
              <w:t>მხატვრული ტექსტის ანალიზი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>შუა საუკუნეებისა და აღორძინების ხანის 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>XVII-XVIII ს. 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pStyle w:val="CM5"/>
              <w:spacing w:after="0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 xml:space="preserve">XIX </w:t>
            </w: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3C71D0">
              <w:rPr>
                <w:rFonts w:cs="AcadNusx"/>
                <w:noProof/>
                <w:sz w:val="20"/>
                <w:szCs w:val="20"/>
              </w:rPr>
              <w:t>. 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1.29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CM1"/>
              <w:spacing w:line="240" w:lineRule="auto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 xml:space="preserve">XX </w:t>
            </w: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3C71D0">
              <w:rPr>
                <w:rFonts w:cs="AcadNusx"/>
                <w:noProof/>
                <w:sz w:val="20"/>
                <w:szCs w:val="20"/>
              </w:rPr>
              <w:t>. I ნახევრისგერმანული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1.30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CM1"/>
              <w:spacing w:line="240" w:lineRule="auto"/>
              <w:rPr>
                <w:rFonts w:cs="AcadNusx"/>
                <w:noProof/>
                <w:sz w:val="20"/>
                <w:szCs w:val="20"/>
              </w:rPr>
            </w:pPr>
            <w:r w:rsidRPr="003C71D0">
              <w:rPr>
                <w:rFonts w:cs="AcadNusx"/>
                <w:noProof/>
                <w:sz w:val="20"/>
                <w:szCs w:val="20"/>
              </w:rPr>
              <w:t xml:space="preserve">XX </w:t>
            </w:r>
            <w:r w:rsidRPr="003C71D0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3C71D0">
              <w:rPr>
                <w:rFonts w:cs="AcadNusx"/>
                <w:noProof/>
                <w:sz w:val="20"/>
                <w:szCs w:val="20"/>
              </w:rPr>
              <w:t>. II ნახევრისგერმანული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1.31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გერმანული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გ</w:t>
            </w:r>
            <w:r w:rsidRPr="003C71D0">
              <w:rPr>
                <w:noProof/>
                <w:color w:val="auto"/>
                <w:sz w:val="20"/>
                <w:szCs w:val="20"/>
              </w:rPr>
              <w:t>ანმანათლებლობისა და რომანტიზმის პრობლემური საკითხები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1.27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-1.28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1.32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Default"/>
              <w:rPr>
                <w:noProof/>
                <w:color w:val="auto"/>
                <w:sz w:val="20"/>
                <w:szCs w:val="20"/>
                <w:lang w:val="en-US"/>
              </w:rPr>
            </w:pPr>
            <w:r w:rsidRPr="003C71D0">
              <w:rPr>
                <w:noProof/>
                <w:color w:val="auto"/>
                <w:sz w:val="20"/>
                <w:szCs w:val="20"/>
              </w:rPr>
              <w:t>საკურსო</w:t>
            </w: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noProof/>
                <w:color w:val="auto"/>
                <w:sz w:val="20"/>
                <w:szCs w:val="20"/>
              </w:rPr>
              <w:t>ნაშრომი</w:t>
            </w: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noProof/>
                <w:color w:val="auto"/>
                <w:sz w:val="20"/>
                <w:szCs w:val="20"/>
              </w:rPr>
              <w:t>გერმანულენაში/გერმანულ</w:t>
            </w: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noProof/>
                <w:color w:val="auto"/>
                <w:sz w:val="20"/>
                <w:szCs w:val="20"/>
              </w:rPr>
              <w:t>ლიტერატურაში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</w:tr>
      <w:tr w:rsidR="003C71D0" w:rsidRPr="003C71D0" w:rsidTr="00756602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145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(30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1 –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გერმანიის</w:t>
            </w:r>
            <w:r w:rsidRPr="003C71D0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AcadNusx"/>
                <w:noProof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შესავალი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ქართულ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გერმანული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ენის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ფონეტიკასა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და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cs="AcadNusx"/>
                <w:noProof/>
                <w:color w:val="auto"/>
                <w:sz w:val="20"/>
                <w:szCs w:val="20"/>
              </w:rPr>
              <w:t>ფონოლოგიაში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2.4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</w:pP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 xml:space="preserve">შესავალი </w:t>
            </w:r>
            <w:r w:rsidRPr="003C71D0">
              <w:rPr>
                <w:noProof/>
                <w:color w:val="auto"/>
                <w:sz w:val="20"/>
                <w:szCs w:val="20"/>
              </w:rPr>
              <w:t>ფილოსოფი</w:t>
            </w:r>
            <w:r w:rsidRPr="003C71D0">
              <w:rPr>
                <w:noProof/>
                <w:color w:val="auto"/>
                <w:sz w:val="20"/>
                <w:szCs w:val="20"/>
                <w:lang w:val="ka-GE"/>
              </w:rPr>
              <w:t>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 </w:t>
            </w:r>
            <w:proofErr w:type="gramStart"/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-  (</w:t>
            </w:r>
            <w:proofErr w:type="gramEnd"/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ქვეყანათმცოდნეობა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3.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II უცხო ენა 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საზღვარგარეთული მუსიკის ისტორია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71D0">
              <w:rPr>
                <w:rFonts w:ascii="Sylfaen" w:hAnsi="Sylfaen"/>
                <w:b/>
                <w:sz w:val="20"/>
                <w:szCs w:val="20"/>
              </w:rPr>
              <w:t>კურსი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3</w:t>
            </w:r>
            <w:proofErr w:type="gramEnd"/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ინფორმაციულიტექნოლოგიები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lastRenderedPageBreak/>
              <w:t>4..2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 xml:space="preserve">XVII-XVIII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საუკუნეების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დასავლეთევროპული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ლიტერატურ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4.  4.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 xml:space="preserve">II უცხო ენა 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118A" w:rsidRPr="003C71D0" w:rsidRDefault="00CB118A" w:rsidP="003C71D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საზღვარგარეთული მუსიკის ისტორია</w:t>
            </w:r>
          </w:p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  <w:r w:rsidRPr="003C71D0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კომუნიკაციური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XIXსაუკუნის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დასავლეთევროპული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და ამერიკული </w:t>
            </w:r>
            <w:proofErr w:type="spellStart"/>
            <w:r w:rsidRPr="003C71D0">
              <w:rPr>
                <w:rFonts w:ascii="Sylfaen" w:hAnsi="Sylfaen"/>
                <w:sz w:val="20"/>
                <w:szCs w:val="20"/>
              </w:rPr>
              <w:t>ლიტერატურ</w:t>
            </w:r>
            <w:proofErr w:type="spellEnd"/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5.3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II უცხო ენა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</w:t>
            </w: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პირველი ნახევრის დასავლეთევროპული და ამერიკული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გერმანული ენის სწავლების მეთოდიკა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6.3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შესავალი ტექსტის ლინგვისტიკაში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3C71D0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  <w:vAlign w:val="center"/>
            <w:hideMark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6 -  (5 კრედიტი)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de-DE"/>
              </w:rPr>
            </w:pPr>
            <w:r w:rsidRPr="003C71D0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მეორე ნახევრის დასავლეთევროპული და ამერიკული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ფუნქციონალური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7.3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გერმანულ ენაზე მეტყველების არგუმენტაციული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C71D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</w:rPr>
              <w:t>თავისუფალი</w:t>
            </w: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</w:rPr>
              <w:t>კრედიტი</w:t>
            </w:r>
            <w:r w:rsidRPr="003C71D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- 5 კრედიტი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8.1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 w:cs="Sylfaen"/>
                <w:noProof/>
                <w:sz w:val="20"/>
                <w:szCs w:val="20"/>
              </w:rPr>
              <w:t>თავისუფალი</w:t>
            </w:r>
            <w:r w:rsidRPr="003C71D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3C71D0">
              <w:rPr>
                <w:rFonts w:ascii="Sylfaen" w:hAnsi="Sylfaen" w:cs="Sylfaen"/>
                <w:noProof/>
                <w:sz w:val="20"/>
                <w:szCs w:val="20"/>
              </w:rPr>
              <w:t>კრედიტი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C71D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3C71D0" w:rsidRPr="003C71D0" w:rsidTr="00756602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</w:rPr>
              <w:t>დამატებითი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</w:rPr>
              <w:t>სპეციალობის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</w:rPr>
              <w:t xml:space="preserve"> (Minor) </w:t>
            </w:r>
            <w:proofErr w:type="spellStart"/>
            <w:r w:rsidRPr="003C71D0">
              <w:rPr>
                <w:rFonts w:ascii="Sylfaen" w:hAnsi="Sylfaen"/>
                <w:b/>
                <w:sz w:val="20"/>
                <w:szCs w:val="20"/>
              </w:rPr>
              <w:t>კრედიტები</w:t>
            </w:r>
            <w:proofErr w:type="spellEnd"/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- 60 კრედიტი</w:t>
            </w:r>
          </w:p>
        </w:tc>
      </w:tr>
      <w:tr w:rsidR="003C71D0" w:rsidRPr="003C71D0" w:rsidTr="0075660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71D0" w:rsidRPr="003C71D0" w:rsidTr="00756602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3C71D0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71D0">
              <w:rPr>
                <w:rFonts w:ascii="Sylfaen" w:hAnsi="Sylfaen"/>
                <w:b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B118A" w:rsidRPr="003C71D0" w:rsidRDefault="00CB118A" w:rsidP="003C71D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B118A" w:rsidRPr="003C71D0" w:rsidRDefault="00CB118A" w:rsidP="003C71D0">
      <w:pPr>
        <w:spacing w:after="0" w:line="240" w:lineRule="auto"/>
        <w:rPr>
          <w:rFonts w:ascii="Sylfaen" w:hAnsi="Sylfaen"/>
          <w:noProof/>
          <w:sz w:val="20"/>
          <w:szCs w:val="20"/>
        </w:r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3C71D0" w:rsidRDefault="003C71D0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  <w:sectPr w:rsidR="003C71D0" w:rsidSect="003C71D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B118A" w:rsidRPr="003C71D0" w:rsidRDefault="00CB118A" w:rsidP="003C71D0">
      <w:p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sectPr w:rsidR="00CB118A" w:rsidRPr="003C71D0" w:rsidSect="003C71D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2E" w:rsidRDefault="006E342E">
      <w:pPr>
        <w:spacing w:after="0" w:line="240" w:lineRule="auto"/>
      </w:pPr>
      <w:r>
        <w:separator/>
      </w:r>
    </w:p>
  </w:endnote>
  <w:endnote w:type="continuationSeparator" w:id="0">
    <w:p w:rsidR="006E342E" w:rsidRDefault="006E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9F" w:rsidRDefault="0088762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36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69F" w:rsidRDefault="0047369F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9F" w:rsidRDefault="0088762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36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0AD">
      <w:rPr>
        <w:rStyle w:val="PageNumber"/>
        <w:noProof/>
      </w:rPr>
      <w:t>5</w:t>
    </w:r>
    <w:r>
      <w:rPr>
        <w:rStyle w:val="PageNumber"/>
      </w:rPr>
      <w:fldChar w:fldCharType="end"/>
    </w:r>
  </w:p>
  <w:p w:rsidR="0047369F" w:rsidRDefault="0047369F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2E" w:rsidRDefault="006E342E">
      <w:pPr>
        <w:spacing w:after="0" w:line="240" w:lineRule="auto"/>
      </w:pPr>
      <w:r>
        <w:separator/>
      </w:r>
    </w:p>
  </w:footnote>
  <w:footnote w:type="continuationSeparator" w:id="0">
    <w:p w:rsidR="006E342E" w:rsidRDefault="006E3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19"/>
  </w:num>
  <w:num w:numId="5">
    <w:abstractNumId w:val="12"/>
  </w:num>
  <w:num w:numId="6">
    <w:abstractNumId w:val="3"/>
  </w:num>
  <w:num w:numId="7">
    <w:abstractNumId w:val="17"/>
  </w:num>
  <w:num w:numId="8">
    <w:abstractNumId w:val="1"/>
  </w:num>
  <w:num w:numId="9">
    <w:abstractNumId w:val="7"/>
  </w:num>
  <w:num w:numId="10">
    <w:abstractNumId w:val="13"/>
  </w:num>
  <w:num w:numId="11">
    <w:abstractNumId w:val="20"/>
  </w:num>
  <w:num w:numId="12">
    <w:abstractNumId w:val="18"/>
  </w:num>
  <w:num w:numId="13">
    <w:abstractNumId w:val="6"/>
  </w:num>
  <w:num w:numId="14">
    <w:abstractNumId w:val="2"/>
  </w:num>
  <w:num w:numId="15">
    <w:abstractNumId w:val="0"/>
  </w:num>
  <w:num w:numId="16">
    <w:abstractNumId w:val="4"/>
  </w:num>
  <w:num w:numId="17">
    <w:abstractNumId w:val="9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7C30"/>
    <w:rsid w:val="00010C9D"/>
    <w:rsid w:val="00040768"/>
    <w:rsid w:val="00040A89"/>
    <w:rsid w:val="00052649"/>
    <w:rsid w:val="000577B0"/>
    <w:rsid w:val="00065B67"/>
    <w:rsid w:val="00066A53"/>
    <w:rsid w:val="000736BD"/>
    <w:rsid w:val="000862F1"/>
    <w:rsid w:val="00097AE1"/>
    <w:rsid w:val="000D5C67"/>
    <w:rsid w:val="000D762D"/>
    <w:rsid w:val="000E2641"/>
    <w:rsid w:val="000E7208"/>
    <w:rsid w:val="00125784"/>
    <w:rsid w:val="001274D0"/>
    <w:rsid w:val="00136AE7"/>
    <w:rsid w:val="00144FB6"/>
    <w:rsid w:val="00152E82"/>
    <w:rsid w:val="0015476C"/>
    <w:rsid w:val="001606B1"/>
    <w:rsid w:val="001A49F4"/>
    <w:rsid w:val="001E0EFD"/>
    <w:rsid w:val="001E2F0D"/>
    <w:rsid w:val="00203227"/>
    <w:rsid w:val="00213B1A"/>
    <w:rsid w:val="002232BE"/>
    <w:rsid w:val="00272CFC"/>
    <w:rsid w:val="00290E4C"/>
    <w:rsid w:val="002C4ED8"/>
    <w:rsid w:val="002C599F"/>
    <w:rsid w:val="002E1786"/>
    <w:rsid w:val="002F312E"/>
    <w:rsid w:val="002F5151"/>
    <w:rsid w:val="00302537"/>
    <w:rsid w:val="00324C79"/>
    <w:rsid w:val="0035730C"/>
    <w:rsid w:val="00374047"/>
    <w:rsid w:val="003B1D07"/>
    <w:rsid w:val="003B5CA1"/>
    <w:rsid w:val="003B5FF9"/>
    <w:rsid w:val="003C5508"/>
    <w:rsid w:val="003C71D0"/>
    <w:rsid w:val="003E1D94"/>
    <w:rsid w:val="003F0F62"/>
    <w:rsid w:val="004051C5"/>
    <w:rsid w:val="0041076F"/>
    <w:rsid w:val="0043287D"/>
    <w:rsid w:val="00443D19"/>
    <w:rsid w:val="0047369F"/>
    <w:rsid w:val="00477475"/>
    <w:rsid w:val="004A0325"/>
    <w:rsid w:val="004A068C"/>
    <w:rsid w:val="004A6752"/>
    <w:rsid w:val="004C5314"/>
    <w:rsid w:val="004E0C45"/>
    <w:rsid w:val="004E13E3"/>
    <w:rsid w:val="005068F7"/>
    <w:rsid w:val="0052202E"/>
    <w:rsid w:val="0055084E"/>
    <w:rsid w:val="00567296"/>
    <w:rsid w:val="005B1065"/>
    <w:rsid w:val="005D77EC"/>
    <w:rsid w:val="005E7F02"/>
    <w:rsid w:val="005F573D"/>
    <w:rsid w:val="006133F7"/>
    <w:rsid w:val="00627E01"/>
    <w:rsid w:val="00653D90"/>
    <w:rsid w:val="00671403"/>
    <w:rsid w:val="006777CE"/>
    <w:rsid w:val="00683DE4"/>
    <w:rsid w:val="006858BC"/>
    <w:rsid w:val="006A09DA"/>
    <w:rsid w:val="006A5D40"/>
    <w:rsid w:val="006B66B5"/>
    <w:rsid w:val="006C73F5"/>
    <w:rsid w:val="006E342E"/>
    <w:rsid w:val="00727C45"/>
    <w:rsid w:val="0075535D"/>
    <w:rsid w:val="00761D47"/>
    <w:rsid w:val="007A0181"/>
    <w:rsid w:val="007B369B"/>
    <w:rsid w:val="007B5712"/>
    <w:rsid w:val="007C0EED"/>
    <w:rsid w:val="007C45FC"/>
    <w:rsid w:val="007D43D5"/>
    <w:rsid w:val="007D64A0"/>
    <w:rsid w:val="007E3BDC"/>
    <w:rsid w:val="007F0DF8"/>
    <w:rsid w:val="00811863"/>
    <w:rsid w:val="008231DA"/>
    <w:rsid w:val="008260AD"/>
    <w:rsid w:val="008455E7"/>
    <w:rsid w:val="008575A0"/>
    <w:rsid w:val="0088762B"/>
    <w:rsid w:val="008A3338"/>
    <w:rsid w:val="008D0F41"/>
    <w:rsid w:val="008D3ADB"/>
    <w:rsid w:val="00920E56"/>
    <w:rsid w:val="009247FE"/>
    <w:rsid w:val="009272D5"/>
    <w:rsid w:val="00935093"/>
    <w:rsid w:val="00954E2E"/>
    <w:rsid w:val="0095770F"/>
    <w:rsid w:val="00994781"/>
    <w:rsid w:val="009D1C48"/>
    <w:rsid w:val="009D52CE"/>
    <w:rsid w:val="009D7832"/>
    <w:rsid w:val="00A031ED"/>
    <w:rsid w:val="00A0621B"/>
    <w:rsid w:val="00A3421A"/>
    <w:rsid w:val="00A52C44"/>
    <w:rsid w:val="00A605D8"/>
    <w:rsid w:val="00A64BBA"/>
    <w:rsid w:val="00A67D19"/>
    <w:rsid w:val="00A81928"/>
    <w:rsid w:val="00AB502F"/>
    <w:rsid w:val="00AC0473"/>
    <w:rsid w:val="00AE4C31"/>
    <w:rsid w:val="00AF05DC"/>
    <w:rsid w:val="00AF346F"/>
    <w:rsid w:val="00AF4035"/>
    <w:rsid w:val="00B063D7"/>
    <w:rsid w:val="00B06C22"/>
    <w:rsid w:val="00B079FB"/>
    <w:rsid w:val="00B11597"/>
    <w:rsid w:val="00B2525E"/>
    <w:rsid w:val="00B45296"/>
    <w:rsid w:val="00B517E5"/>
    <w:rsid w:val="00B5576B"/>
    <w:rsid w:val="00B57227"/>
    <w:rsid w:val="00B613E8"/>
    <w:rsid w:val="00B62C91"/>
    <w:rsid w:val="00B6669E"/>
    <w:rsid w:val="00B70EBC"/>
    <w:rsid w:val="00B7415C"/>
    <w:rsid w:val="00B82E5A"/>
    <w:rsid w:val="00B902F0"/>
    <w:rsid w:val="00B97233"/>
    <w:rsid w:val="00BA7C58"/>
    <w:rsid w:val="00BE2AB8"/>
    <w:rsid w:val="00BF2BBE"/>
    <w:rsid w:val="00C307BD"/>
    <w:rsid w:val="00C52EE1"/>
    <w:rsid w:val="00C61954"/>
    <w:rsid w:val="00C66F60"/>
    <w:rsid w:val="00C70370"/>
    <w:rsid w:val="00C772B9"/>
    <w:rsid w:val="00CB118A"/>
    <w:rsid w:val="00CC1092"/>
    <w:rsid w:val="00CE6C37"/>
    <w:rsid w:val="00CF25B5"/>
    <w:rsid w:val="00D05659"/>
    <w:rsid w:val="00D70DD4"/>
    <w:rsid w:val="00DA1C7A"/>
    <w:rsid w:val="00DA360E"/>
    <w:rsid w:val="00DA4F5F"/>
    <w:rsid w:val="00DA6A6F"/>
    <w:rsid w:val="00DE089B"/>
    <w:rsid w:val="00DF0D61"/>
    <w:rsid w:val="00DF553B"/>
    <w:rsid w:val="00E25194"/>
    <w:rsid w:val="00E40DDA"/>
    <w:rsid w:val="00E40DED"/>
    <w:rsid w:val="00E5641E"/>
    <w:rsid w:val="00E72119"/>
    <w:rsid w:val="00E94CA8"/>
    <w:rsid w:val="00EF17E0"/>
    <w:rsid w:val="00F12D10"/>
    <w:rsid w:val="00F31578"/>
    <w:rsid w:val="00F57E82"/>
    <w:rsid w:val="00F60184"/>
    <w:rsid w:val="00F7747C"/>
    <w:rsid w:val="00F928EE"/>
    <w:rsid w:val="00F93069"/>
    <w:rsid w:val="00FA7E5D"/>
    <w:rsid w:val="00FC0D4A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4677"/>
  <w15:docId w15:val="{80422CA6-A2F1-40BB-857E-9273A3F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119"/>
  </w:style>
  <w:style w:type="paragraph" w:styleId="Heading1">
    <w:name w:val="heading 1"/>
    <w:basedOn w:val="Normal"/>
    <w:next w:val="Normal"/>
    <w:link w:val="Heading1Char"/>
    <w:qFormat/>
    <w:rsid w:val="00CB1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1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118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CB118A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CB118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CB118A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B11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CB11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CB118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1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B1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B118A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B118A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B118A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B118A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B1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B118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B118A"/>
    <w:rPr>
      <w:rFonts w:ascii="Arial" w:eastAsia="Times New Roman" w:hAnsi="Arial" w:cs="Arial"/>
      <w:lang w:val="ru-RU" w:eastAsia="ru-RU"/>
    </w:rPr>
  </w:style>
  <w:style w:type="paragraph" w:customStyle="1" w:styleId="listparagraphcxspmiddle">
    <w:name w:val="listparagraphcxspmiddle"/>
    <w:basedOn w:val="Normal"/>
    <w:rsid w:val="00CB118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18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CB118A"/>
    <w:pPr>
      <w:widowControl w:val="0"/>
      <w:spacing w:after="225"/>
    </w:pPr>
    <w:rPr>
      <w:color w:val="auto"/>
    </w:rPr>
  </w:style>
  <w:style w:type="paragraph" w:customStyle="1" w:styleId="CM1">
    <w:name w:val="CM1"/>
    <w:basedOn w:val="Default"/>
    <w:next w:val="Default"/>
    <w:rsid w:val="00CB118A"/>
    <w:pPr>
      <w:widowControl w:val="0"/>
      <w:spacing w:line="26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CB118A"/>
    <w:pPr>
      <w:widowControl w:val="0"/>
    </w:pPr>
    <w:rPr>
      <w:color w:val="auto"/>
    </w:rPr>
  </w:style>
  <w:style w:type="character" w:customStyle="1" w:styleId="hps">
    <w:name w:val="hps"/>
    <w:basedOn w:val="DefaultParagraphFont"/>
    <w:rsid w:val="00CB118A"/>
  </w:style>
  <w:style w:type="paragraph" w:customStyle="1" w:styleId="CM2">
    <w:name w:val="CM2"/>
    <w:basedOn w:val="Default"/>
    <w:next w:val="Default"/>
    <w:rsid w:val="00CB118A"/>
    <w:pPr>
      <w:widowControl w:val="0"/>
    </w:pPr>
    <w:rPr>
      <w:color w:val="auto"/>
    </w:rPr>
  </w:style>
  <w:style w:type="paragraph" w:styleId="BodyTextIndent3">
    <w:name w:val="Body Text Indent 3"/>
    <w:basedOn w:val="Normal"/>
    <w:link w:val="BodyTextIndent3Char"/>
    <w:rsid w:val="00CB11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18A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11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B118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118A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118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B118A"/>
    <w:rPr>
      <w:sz w:val="20"/>
      <w:szCs w:val="20"/>
    </w:rPr>
  </w:style>
  <w:style w:type="paragraph" w:customStyle="1" w:styleId="Elizbari">
    <w:name w:val="Elizbari"/>
    <w:basedOn w:val="Normal"/>
    <w:rsid w:val="00CB118A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B11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1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8A"/>
    <w:rPr>
      <w:b/>
      <w:bCs/>
      <w:sz w:val="20"/>
      <w:szCs w:val="20"/>
    </w:rPr>
  </w:style>
  <w:style w:type="table" w:styleId="TableGrid">
    <w:name w:val="Table Grid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CB118A"/>
    <w:rPr>
      <w:b/>
      <w:bCs/>
    </w:rPr>
  </w:style>
  <w:style w:type="paragraph" w:customStyle="1" w:styleId="style21">
    <w:name w:val="style21"/>
    <w:basedOn w:val="Normal"/>
    <w:rsid w:val="00C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CB118A"/>
  </w:style>
  <w:style w:type="character" w:styleId="FollowedHyperlink">
    <w:name w:val="FollowedHyperlink"/>
    <w:uiPriority w:val="99"/>
    <w:unhideWhenUsed/>
    <w:rsid w:val="00CB118A"/>
    <w:rPr>
      <w:color w:val="800080"/>
      <w:u w:val="single"/>
    </w:rPr>
  </w:style>
  <w:style w:type="paragraph" w:customStyle="1" w:styleId="xl65">
    <w:name w:val="xl6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CB118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CB11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CB11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CB118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CB11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CB11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CB1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CB1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CB11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CB11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CB11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CB11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CB11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CB11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CB1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CB1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CB118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CB1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CB1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CB11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CB118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CB118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CB118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CB118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CB118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CB11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CB11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CB11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CB11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CB118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CB1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CB1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CB118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CB1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CB11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CB11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CB118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CB118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CB118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CB118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CB118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CB11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CB11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CB1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CB11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CB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CB11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CB11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CB118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CB1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CB11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CB118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CB11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CB11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CB118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CB118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CB1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CB11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CB1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CB1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CB118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CB1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CB11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CB1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CB1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CB118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CB11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CB1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CB1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CB1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CB1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CB1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CB1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CB11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CB11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CB11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CB11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CB118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CB11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CB11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CB118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CB11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CB11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CB11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CB11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CB118A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CB118A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CB1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B1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CB1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CB118A"/>
  </w:style>
  <w:style w:type="table" w:customStyle="1" w:styleId="TableGrid1">
    <w:name w:val="Table Grid1"/>
    <w:basedOn w:val="TableNormal"/>
    <w:next w:val="TableGrid"/>
    <w:uiPriority w:val="99"/>
    <w:rsid w:val="00CB11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B118A"/>
  </w:style>
  <w:style w:type="table" w:customStyle="1" w:styleId="TableGrid11">
    <w:name w:val="Table Grid11"/>
    <w:basedOn w:val="TableNormal"/>
    <w:next w:val="TableGrid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1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CB118A"/>
  </w:style>
  <w:style w:type="table" w:customStyle="1" w:styleId="TableGrid2">
    <w:name w:val="Table Grid2"/>
    <w:basedOn w:val="TableNormal"/>
    <w:next w:val="TableGrid"/>
    <w:uiPriority w:val="59"/>
    <w:rsid w:val="00CB11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B118A"/>
  </w:style>
  <w:style w:type="table" w:customStyle="1" w:styleId="TableGrid12">
    <w:name w:val="Table Grid12"/>
    <w:basedOn w:val="TableNormal"/>
    <w:next w:val="TableGrid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118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B118A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CB118A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CB11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118A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1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18A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18A"/>
    <w:rPr>
      <w:color w:val="808080"/>
      <w:shd w:val="clear" w:color="auto" w:fill="E6E6E6"/>
    </w:rPr>
  </w:style>
  <w:style w:type="table" w:styleId="TableGrid5">
    <w:name w:val="Table Grid 5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CB118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CB11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18A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C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CB11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CB118A"/>
  </w:style>
  <w:style w:type="paragraph" w:styleId="BodyTextIndent2">
    <w:name w:val="Body Text Indent 2"/>
    <w:basedOn w:val="Normal"/>
    <w:link w:val="BodyTextIndent2Char"/>
    <w:rsid w:val="00CB118A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B118A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CB11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CB118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118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11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CB118A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CB118A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CB118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CB118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CB118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CB118A"/>
  </w:style>
  <w:style w:type="paragraph" w:customStyle="1" w:styleId="NoSpacing1">
    <w:name w:val="No Spacing1"/>
    <w:uiPriority w:val="1"/>
    <w:qFormat/>
    <w:rsid w:val="00CB118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CB118A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CB118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CB118A"/>
    <w:rPr>
      <w:sz w:val="16"/>
      <w:szCs w:val="16"/>
    </w:rPr>
  </w:style>
  <w:style w:type="paragraph" w:styleId="Index1">
    <w:name w:val="index 1"/>
    <w:basedOn w:val="Normal"/>
    <w:next w:val="Normal"/>
    <w:autoRedefine/>
    <w:rsid w:val="00CB118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CB118A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CB118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CB118A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CB118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CB11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CB118A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CB11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CB118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CB118A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CB118A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CB118A"/>
  </w:style>
  <w:style w:type="paragraph" w:styleId="BodyText2">
    <w:name w:val="Body Text 2"/>
    <w:basedOn w:val="Normal"/>
    <w:link w:val="BodyText2Char"/>
    <w:rsid w:val="00CB11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CB1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CB118A"/>
  </w:style>
  <w:style w:type="paragraph" w:customStyle="1" w:styleId="NormalSCM">
    <w:name w:val="Normal SCM"/>
    <w:basedOn w:val="Normal"/>
    <w:link w:val="NormalSCMChar"/>
    <w:rsid w:val="00CB118A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CB118A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C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CB118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CB118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CB118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CB11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CB11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CB1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CB1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CB1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CB118A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CB118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CB11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CB118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CB118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CB118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CB118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CB118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CB118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CB118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CB1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CB1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CB1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CB1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CB1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CB1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CB118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CB11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CB118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CB11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CB11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CB1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CB1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CB1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CB11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CB118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1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18A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C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CB118A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CB118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CB118A"/>
    <w:pPr>
      <w:numPr>
        <w:numId w:val="24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CB118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CB118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CB118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CB11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DA3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nuli/kakauridze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87C9-E372-450A-B741-87597CCE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67</cp:revision>
  <cp:lastPrinted>2015-04-02T06:03:00Z</cp:lastPrinted>
  <dcterms:created xsi:type="dcterms:W3CDTF">2015-11-13T06:48:00Z</dcterms:created>
  <dcterms:modified xsi:type="dcterms:W3CDTF">2021-09-20T12:12:00Z</dcterms:modified>
</cp:coreProperties>
</file>